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0C5D" w14:textId="26F0926E" w:rsidR="008F5EC2" w:rsidRDefault="008F5EC2" w:rsidP="0060639A">
      <w:pPr>
        <w:spacing w:line="240" w:lineRule="auto"/>
        <w:rPr>
          <w:b/>
          <w:bCs/>
        </w:rPr>
      </w:pPr>
      <w:r>
        <w:rPr>
          <w:b/>
          <w:bCs/>
        </w:rPr>
        <w:t>Job title: Program Manager – Drug Discovery and PET Imaging</w:t>
      </w:r>
    </w:p>
    <w:p w14:paraId="35613980" w14:textId="6D1DA508" w:rsidR="00954582" w:rsidRDefault="008F5EC2" w:rsidP="0060639A">
      <w:pPr>
        <w:spacing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Reporting to: Director of Research Partnerships, Business Development &amp; the Drug Discovery Lead</w:t>
      </w:r>
    </w:p>
    <w:p w14:paraId="37A20952" w14:textId="77777777" w:rsidR="00C951DD" w:rsidRDefault="00C951DD" w:rsidP="0060639A">
      <w:pPr>
        <w:spacing w:line="240" w:lineRule="auto"/>
        <w:rPr>
          <w:b/>
          <w:bCs/>
          <w:sz w:val="20"/>
          <w:szCs w:val="20"/>
        </w:rPr>
      </w:pPr>
      <w:r w:rsidRPr="00C951DD">
        <w:rPr>
          <w:b/>
          <w:bCs/>
        </w:rPr>
        <w:t>How To Apply:</w:t>
      </w:r>
    </w:p>
    <w:p w14:paraId="1F38C928" w14:textId="6F5554C5" w:rsidR="00C951DD" w:rsidRPr="00C951DD" w:rsidRDefault="00C951DD" w:rsidP="0060639A">
      <w:pPr>
        <w:spacing w:line="240" w:lineRule="auto"/>
        <w:rPr>
          <w:b/>
          <w:bCs/>
          <w:sz w:val="20"/>
          <w:szCs w:val="20"/>
        </w:rPr>
      </w:pPr>
      <w:r w:rsidRPr="00C951DD">
        <w:rPr>
          <w:sz w:val="20"/>
          <w:szCs w:val="20"/>
        </w:rPr>
        <w:t>Please submit your resume and cover letter to resumes@rainwatercf.org</w:t>
      </w:r>
    </w:p>
    <w:p w14:paraId="0B6B211D" w14:textId="399572C8" w:rsidR="008F5EC2" w:rsidRPr="008F5EC2" w:rsidRDefault="008F5EC2" w:rsidP="0060639A">
      <w:pPr>
        <w:spacing w:line="240" w:lineRule="auto"/>
      </w:pPr>
      <w:r w:rsidRPr="008F5EC2">
        <w:rPr>
          <w:b/>
          <w:bCs/>
        </w:rPr>
        <w:t>Job Summary:</w:t>
      </w:r>
    </w:p>
    <w:p w14:paraId="5216D2DB" w14:textId="77777777" w:rsidR="0060639A" w:rsidRPr="00954582" w:rsidRDefault="008F5EC2" w:rsidP="0060639A">
      <w:pPr>
        <w:spacing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The Program Manage</w:t>
      </w:r>
      <w:r w:rsidR="00F575E0" w:rsidRPr="00954582">
        <w:rPr>
          <w:sz w:val="20"/>
          <w:szCs w:val="20"/>
        </w:rPr>
        <w:t>r</w:t>
      </w:r>
      <w:r w:rsidRPr="00954582">
        <w:rPr>
          <w:sz w:val="20"/>
          <w:szCs w:val="20"/>
        </w:rPr>
        <w:t xml:space="preserve"> will be </w:t>
      </w:r>
      <w:r w:rsidR="00F575E0" w:rsidRPr="00954582">
        <w:rPr>
          <w:sz w:val="20"/>
          <w:szCs w:val="20"/>
        </w:rPr>
        <w:t>the</w:t>
      </w:r>
      <w:r w:rsidRPr="00954582">
        <w:rPr>
          <w:sz w:val="20"/>
          <w:szCs w:val="20"/>
        </w:rPr>
        <w:t xml:space="preserve"> key support in managing our research portfolios</w:t>
      </w:r>
      <w:r w:rsidR="00F575E0" w:rsidRPr="00954582">
        <w:rPr>
          <w:sz w:val="20"/>
          <w:szCs w:val="20"/>
        </w:rPr>
        <w:t xml:space="preserve"> focused on</w:t>
      </w:r>
      <w:r w:rsidRPr="00954582">
        <w:rPr>
          <w:sz w:val="20"/>
          <w:szCs w:val="20"/>
        </w:rPr>
        <w:t xml:space="preserve"> drug discovery (DD) and </w:t>
      </w:r>
      <w:r w:rsidR="00F575E0" w:rsidRPr="00954582">
        <w:rPr>
          <w:sz w:val="20"/>
          <w:szCs w:val="20"/>
        </w:rPr>
        <w:t>P</w:t>
      </w:r>
      <w:r w:rsidRPr="00954582">
        <w:rPr>
          <w:sz w:val="20"/>
          <w:szCs w:val="20"/>
        </w:rPr>
        <w:t>ositron Emission Tomography (PET) programs</w:t>
      </w:r>
      <w:r w:rsidR="00F575E0" w:rsidRPr="00954582">
        <w:rPr>
          <w:sz w:val="20"/>
          <w:szCs w:val="20"/>
        </w:rPr>
        <w:t>.</w:t>
      </w:r>
      <w:r w:rsidRPr="00954582">
        <w:rPr>
          <w:sz w:val="20"/>
          <w:szCs w:val="20"/>
        </w:rPr>
        <w:t xml:space="preserve"> This role requires a highly organized and adaptable individual who can provide essential administrative support, facilitate interactions with researchers</w:t>
      </w:r>
      <w:r w:rsidR="00F575E0" w:rsidRPr="00954582">
        <w:rPr>
          <w:sz w:val="20"/>
          <w:szCs w:val="20"/>
        </w:rPr>
        <w:t>, advisors, consultants</w:t>
      </w:r>
      <w:r w:rsidRPr="00954582">
        <w:rPr>
          <w:sz w:val="20"/>
          <w:szCs w:val="20"/>
        </w:rPr>
        <w:t xml:space="preserve"> and partners, and contribute to the efficient operation of our </w:t>
      </w:r>
      <w:r w:rsidR="00F575E0" w:rsidRPr="00954582">
        <w:rPr>
          <w:sz w:val="20"/>
          <w:szCs w:val="20"/>
        </w:rPr>
        <w:t>charitable mission</w:t>
      </w:r>
      <w:r w:rsidRPr="00954582">
        <w:rPr>
          <w:sz w:val="20"/>
          <w:szCs w:val="20"/>
        </w:rPr>
        <w:t>. The ideal candidate will have a f</w:t>
      </w:r>
      <w:r w:rsidR="00F575E0" w:rsidRPr="00954582">
        <w:rPr>
          <w:sz w:val="20"/>
          <w:szCs w:val="20"/>
        </w:rPr>
        <w:t>undamental</w:t>
      </w:r>
      <w:r w:rsidRPr="00954582">
        <w:rPr>
          <w:sz w:val="20"/>
          <w:szCs w:val="20"/>
        </w:rPr>
        <w:t xml:space="preserve"> understanding of scientific research</w:t>
      </w:r>
      <w:r w:rsidR="00F575E0" w:rsidRPr="00954582">
        <w:rPr>
          <w:sz w:val="20"/>
          <w:szCs w:val="20"/>
        </w:rPr>
        <w:t xml:space="preserve"> (therapeutic development and neurodegenerative disease research experience is a strong plus)</w:t>
      </w:r>
      <w:r w:rsidRPr="00954582">
        <w:rPr>
          <w:sz w:val="20"/>
          <w:szCs w:val="20"/>
        </w:rPr>
        <w:t xml:space="preserve"> and the ability to effectively manage diverse tasks in a mission-driven environment.</w:t>
      </w:r>
      <w:r w:rsidR="0060639A" w:rsidRPr="00954582">
        <w:rPr>
          <w:sz w:val="20"/>
          <w:szCs w:val="20"/>
        </w:rPr>
        <w:t xml:space="preserve"> </w:t>
      </w:r>
    </w:p>
    <w:p w14:paraId="5794F44E" w14:textId="02166B53" w:rsidR="008F5EC2" w:rsidRPr="00954582" w:rsidRDefault="0060639A" w:rsidP="0060639A">
      <w:pPr>
        <w:spacing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This is a full-time role. The ideal candidate will reside in the Fort Worth/Dallas area, but location is negotiable. The PM must be willing to travel up to 2</w:t>
      </w:r>
      <w:r w:rsidR="00954582">
        <w:rPr>
          <w:sz w:val="20"/>
          <w:szCs w:val="20"/>
        </w:rPr>
        <w:t>5</w:t>
      </w:r>
      <w:r w:rsidRPr="00954582">
        <w:rPr>
          <w:sz w:val="20"/>
          <w:szCs w:val="20"/>
        </w:rPr>
        <w:t>% of the time, including international destinations. The salary range for this position is $75,000 to $90,000 (plus attractive benefits) depending on experience.</w:t>
      </w:r>
    </w:p>
    <w:p w14:paraId="27DF0E7A" w14:textId="77777777" w:rsidR="008F5EC2" w:rsidRPr="008F5EC2" w:rsidRDefault="008F5EC2" w:rsidP="0060639A">
      <w:pPr>
        <w:spacing w:line="240" w:lineRule="auto"/>
      </w:pPr>
      <w:r w:rsidRPr="008F5EC2">
        <w:rPr>
          <w:b/>
          <w:bCs/>
        </w:rPr>
        <w:t>Key Responsibilities:</w:t>
      </w:r>
    </w:p>
    <w:p w14:paraId="333B1E29" w14:textId="5CFE482E" w:rsidR="008F5EC2" w:rsidRPr="00954582" w:rsidRDefault="008F5EC2" w:rsidP="0060639A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b/>
          <w:bCs/>
          <w:sz w:val="20"/>
          <w:szCs w:val="20"/>
        </w:rPr>
        <w:t>Drug Discovery</w:t>
      </w:r>
      <w:r w:rsidR="00F575E0" w:rsidRPr="00954582">
        <w:rPr>
          <w:b/>
          <w:bCs/>
          <w:sz w:val="20"/>
          <w:szCs w:val="20"/>
        </w:rPr>
        <w:t xml:space="preserve"> and PET</w:t>
      </w:r>
      <w:r w:rsidRPr="00954582">
        <w:rPr>
          <w:b/>
          <w:bCs/>
          <w:sz w:val="20"/>
          <w:szCs w:val="20"/>
        </w:rPr>
        <w:t xml:space="preserve"> Portfolio Support:</w:t>
      </w:r>
    </w:p>
    <w:p w14:paraId="7E00DB70" w14:textId="4C2C1F63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 xml:space="preserve">Assist the Director and advisors in tracking and monitoring the progress of projects across the entire </w:t>
      </w:r>
      <w:r w:rsidR="00F575E0" w:rsidRPr="00954582">
        <w:rPr>
          <w:sz w:val="20"/>
          <w:szCs w:val="20"/>
        </w:rPr>
        <w:t>portfolio</w:t>
      </w:r>
      <w:r w:rsidRPr="00954582">
        <w:rPr>
          <w:sz w:val="20"/>
          <w:szCs w:val="20"/>
        </w:rPr>
        <w:t xml:space="preserve">, from early-stage research through preclinical </w:t>
      </w:r>
      <w:r w:rsidR="00F575E0" w:rsidRPr="00954582">
        <w:rPr>
          <w:sz w:val="20"/>
          <w:szCs w:val="20"/>
        </w:rPr>
        <w:t xml:space="preserve">and clinical </w:t>
      </w:r>
      <w:r w:rsidRPr="00954582">
        <w:rPr>
          <w:sz w:val="20"/>
          <w:szCs w:val="20"/>
        </w:rPr>
        <w:t>development.</w:t>
      </w:r>
    </w:p>
    <w:p w14:paraId="01EF6202" w14:textId="7D4F5261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 xml:space="preserve">Maintain organized records and documentation related to the portfolio, including project summaries, timelines, </w:t>
      </w:r>
      <w:r w:rsidR="00F575E0" w:rsidRPr="00954582">
        <w:rPr>
          <w:sz w:val="20"/>
          <w:szCs w:val="20"/>
        </w:rPr>
        <w:t xml:space="preserve">budget adherence </w:t>
      </w:r>
      <w:r w:rsidRPr="00954582">
        <w:rPr>
          <w:sz w:val="20"/>
          <w:szCs w:val="20"/>
        </w:rPr>
        <w:t xml:space="preserve">and </w:t>
      </w:r>
      <w:r w:rsidR="00F575E0" w:rsidRPr="00954582">
        <w:rPr>
          <w:sz w:val="20"/>
          <w:szCs w:val="20"/>
        </w:rPr>
        <w:t>milestones</w:t>
      </w:r>
      <w:r w:rsidRPr="00954582">
        <w:rPr>
          <w:sz w:val="20"/>
          <w:szCs w:val="20"/>
        </w:rPr>
        <w:t>.</w:t>
      </w:r>
    </w:p>
    <w:p w14:paraId="578FA631" w14:textId="2A668001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Support the preparation of materials for program reviews, internal strategy discussions, and external presentations.</w:t>
      </w:r>
    </w:p>
    <w:p w14:paraId="3CE779E0" w14:textId="4087CE78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 xml:space="preserve">Facilitate logistic arrangements for interactions with researchers, contract research organizations, advisers, and consultants involved in </w:t>
      </w:r>
      <w:r w:rsidR="00F575E0" w:rsidRPr="00954582">
        <w:rPr>
          <w:sz w:val="20"/>
          <w:szCs w:val="20"/>
        </w:rPr>
        <w:t xml:space="preserve">the </w:t>
      </w:r>
      <w:r w:rsidRPr="00954582">
        <w:rPr>
          <w:sz w:val="20"/>
          <w:szCs w:val="20"/>
        </w:rPr>
        <w:t>projects.</w:t>
      </w:r>
    </w:p>
    <w:p w14:paraId="41014C27" w14:textId="77777777" w:rsidR="0060639A" w:rsidRPr="008F5EC2" w:rsidRDefault="0060639A" w:rsidP="0060639A">
      <w:pPr>
        <w:spacing w:after="0" w:line="240" w:lineRule="auto"/>
        <w:ind w:left="1440"/>
      </w:pPr>
    </w:p>
    <w:p w14:paraId="657CAE32" w14:textId="77777777" w:rsidR="008F5EC2" w:rsidRPr="00954582" w:rsidRDefault="008F5EC2" w:rsidP="0060639A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b/>
          <w:bCs/>
          <w:sz w:val="20"/>
          <w:szCs w:val="20"/>
        </w:rPr>
        <w:t>Research Operations &amp; Administrative Management:</w:t>
      </w:r>
    </w:p>
    <w:p w14:paraId="7B33AB86" w14:textId="0AEDC901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 xml:space="preserve">Manage complex calendaring and schedule meetings </w:t>
      </w:r>
      <w:r w:rsidR="00F575E0" w:rsidRPr="00954582">
        <w:rPr>
          <w:sz w:val="20"/>
          <w:szCs w:val="20"/>
        </w:rPr>
        <w:t>for</w:t>
      </w:r>
      <w:r w:rsidRPr="00954582">
        <w:rPr>
          <w:sz w:val="20"/>
          <w:szCs w:val="20"/>
        </w:rPr>
        <w:t xml:space="preserve"> research teams with internal staff, external researchers, partners, advisers, and consultants. This includes coordinating logistics for in-person and virtual gatherings across different time zones.</w:t>
      </w:r>
    </w:p>
    <w:p w14:paraId="08481B16" w14:textId="77777777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Attend a variety of meetings, take comprehensive and accurate notes, and ensure timely distribution of summaries, action items, and relevant materials.</w:t>
      </w:r>
    </w:p>
    <w:p w14:paraId="5143C194" w14:textId="5F44D0E7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Organize and maintain detailed electronic filing systems for all research projects, contracts, correspondence, and other important documents, ensuring easy retrieval of information.</w:t>
      </w:r>
    </w:p>
    <w:p w14:paraId="2F663983" w14:textId="77777777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Assist with processing invoices, tracking expenses, and managing budgets related to all research and partnership activities.</w:t>
      </w:r>
    </w:p>
    <w:p w14:paraId="7FB91BE5" w14:textId="11C375CA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Coordinate domestic and international travel arrangements for the Director and external collaborators, as necessary.</w:t>
      </w:r>
    </w:p>
    <w:p w14:paraId="7B702111" w14:textId="1199B237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Handle a wide range of general administrative tasks to ensure the efficient and smooth operation of the medical research team’s goals.</w:t>
      </w:r>
    </w:p>
    <w:p w14:paraId="643F0EB7" w14:textId="77777777" w:rsidR="0060639A" w:rsidRPr="008F5EC2" w:rsidRDefault="0060639A" w:rsidP="0060639A">
      <w:pPr>
        <w:spacing w:after="0" w:line="240" w:lineRule="auto"/>
        <w:ind w:left="1440"/>
      </w:pPr>
    </w:p>
    <w:p w14:paraId="17B17334" w14:textId="2F1654E2" w:rsidR="008F5EC2" w:rsidRPr="00954582" w:rsidRDefault="0060639A" w:rsidP="0060639A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b/>
          <w:bCs/>
          <w:sz w:val="20"/>
          <w:szCs w:val="20"/>
        </w:rPr>
        <w:t>Other Responsibilities (</w:t>
      </w:r>
      <w:r w:rsidR="008F5EC2" w:rsidRPr="00954582">
        <w:rPr>
          <w:b/>
          <w:bCs/>
          <w:sz w:val="20"/>
          <w:szCs w:val="20"/>
        </w:rPr>
        <w:t>Ad Hoc</w:t>
      </w:r>
      <w:r w:rsidRPr="00954582">
        <w:rPr>
          <w:b/>
          <w:bCs/>
          <w:sz w:val="20"/>
          <w:szCs w:val="20"/>
        </w:rPr>
        <w:t>)</w:t>
      </w:r>
      <w:r w:rsidR="008F5EC2" w:rsidRPr="00954582">
        <w:rPr>
          <w:b/>
          <w:bCs/>
          <w:sz w:val="20"/>
          <w:szCs w:val="20"/>
        </w:rPr>
        <w:t>:</w:t>
      </w:r>
    </w:p>
    <w:p w14:paraId="0D9D4645" w14:textId="77777777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Provide flexible and proactive support for various tasks assigned by the Director to advance business development opportunities and partnerships.</w:t>
      </w:r>
    </w:p>
    <w:p w14:paraId="659D7744" w14:textId="77777777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Assist with the initial review, organization, and tracking of research-related contracts, confidentiality agreements, and other legal documents.</w:t>
      </w:r>
    </w:p>
    <w:p w14:paraId="64F5605D" w14:textId="1E0590CD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lastRenderedPageBreak/>
        <w:t>Support marketing and communication efforts by coordinating materials, managing contact lists, assisting with the logistics of events, conferences, or online presence, and generating website materials.</w:t>
      </w:r>
    </w:p>
    <w:p w14:paraId="7EECDADD" w14:textId="77777777" w:rsidR="008F5EC2" w:rsidRPr="00954582" w:rsidRDefault="008F5EC2" w:rsidP="0060639A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Undertake other duties as assigned to support the Director's work in managing the overall research, partnership, and business development functions.</w:t>
      </w:r>
    </w:p>
    <w:p w14:paraId="2B573928" w14:textId="77777777" w:rsidR="0060639A" w:rsidRPr="008F5EC2" w:rsidRDefault="0060639A" w:rsidP="0060639A">
      <w:pPr>
        <w:spacing w:after="0" w:line="240" w:lineRule="auto"/>
        <w:ind w:left="1440"/>
      </w:pPr>
    </w:p>
    <w:p w14:paraId="5F9557E7" w14:textId="77777777" w:rsidR="008F5EC2" w:rsidRPr="008F5EC2" w:rsidRDefault="008F5EC2" w:rsidP="0060639A">
      <w:pPr>
        <w:spacing w:after="0" w:line="240" w:lineRule="auto"/>
      </w:pPr>
      <w:r w:rsidRPr="008F5EC2">
        <w:rPr>
          <w:b/>
          <w:bCs/>
        </w:rPr>
        <w:t>Qualifications:</w:t>
      </w:r>
    </w:p>
    <w:p w14:paraId="7F5A306D" w14:textId="71CFB766" w:rsidR="008F5EC2" w:rsidRPr="00954582" w:rsidRDefault="008F5EC2" w:rsidP="0060639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 xml:space="preserve">Bachelor's degree </w:t>
      </w:r>
      <w:r w:rsidR="0060639A" w:rsidRPr="00954582">
        <w:rPr>
          <w:sz w:val="20"/>
          <w:szCs w:val="20"/>
        </w:rPr>
        <w:t xml:space="preserve">or above </w:t>
      </w:r>
      <w:r w:rsidRPr="00954582">
        <w:rPr>
          <w:sz w:val="20"/>
          <w:szCs w:val="20"/>
        </w:rPr>
        <w:t>in a life science field (e.g., biology, neuroscience, pharmacology, chemistry) or a related discipline.</w:t>
      </w:r>
    </w:p>
    <w:p w14:paraId="4200BAF0" w14:textId="1EDD60DE" w:rsidR="008F5EC2" w:rsidRPr="00954582" w:rsidRDefault="00F575E0" w:rsidP="0060639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Three</w:t>
      </w:r>
      <w:r w:rsidR="008F5EC2" w:rsidRPr="00954582">
        <w:rPr>
          <w:sz w:val="20"/>
          <w:szCs w:val="20"/>
        </w:rPr>
        <w:t xml:space="preserve"> years of experience in a research support, program coordination, or </w:t>
      </w:r>
      <w:r w:rsidR="00954582">
        <w:rPr>
          <w:sz w:val="20"/>
          <w:szCs w:val="20"/>
        </w:rPr>
        <w:t xml:space="preserve">an </w:t>
      </w:r>
      <w:r w:rsidR="008F5EC2" w:rsidRPr="00954582">
        <w:rPr>
          <w:sz w:val="20"/>
          <w:szCs w:val="20"/>
        </w:rPr>
        <w:t xml:space="preserve">administrative role, preferably within a scientific, biotech, </w:t>
      </w:r>
      <w:r w:rsidR="00954582">
        <w:rPr>
          <w:sz w:val="20"/>
          <w:szCs w:val="20"/>
        </w:rPr>
        <w:t xml:space="preserve">or </w:t>
      </w:r>
      <w:r w:rsidR="008F5EC2" w:rsidRPr="00954582">
        <w:rPr>
          <w:sz w:val="20"/>
          <w:szCs w:val="20"/>
        </w:rPr>
        <w:t>pharmaceutical environment focused on health or research.</w:t>
      </w:r>
    </w:p>
    <w:p w14:paraId="31104E0C" w14:textId="77777777" w:rsidR="008F5EC2" w:rsidRPr="00954582" w:rsidRDefault="008F5EC2" w:rsidP="0060639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Demonstrated ability to manage multiple projects and tasks simultaneously, prioritize effectively under pressure, and consistently meet deadlines in a dynamic and evolving environment.</w:t>
      </w:r>
    </w:p>
    <w:p w14:paraId="598EF96D" w14:textId="77777777" w:rsidR="008F5EC2" w:rsidRPr="00954582" w:rsidRDefault="008F5EC2" w:rsidP="0060639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Exceptional organizational and record-keeping skills with a meticulous attention to detail.</w:t>
      </w:r>
    </w:p>
    <w:p w14:paraId="5D03A6FC" w14:textId="5732F7E1" w:rsidR="008F5EC2" w:rsidRPr="00954582" w:rsidRDefault="008F5EC2" w:rsidP="0060639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High level of proficiency in using productivity software (e.g., Microsoft Office Suite) and complex calendaring/scheduling tools. Experience with CRM, project management software, or database management is highly desirable (e.g., Salesforce, Slack and Monday).</w:t>
      </w:r>
    </w:p>
    <w:p w14:paraId="7029E9F6" w14:textId="77777777" w:rsidR="008F5EC2" w:rsidRPr="00954582" w:rsidRDefault="008F5EC2" w:rsidP="0060639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Strong written and verbal communication skills, with the ability to synthesize information and take accurate, comprehensive, and actionable meeting minutes.</w:t>
      </w:r>
    </w:p>
    <w:p w14:paraId="13016919" w14:textId="77777777" w:rsidR="008F5EC2" w:rsidRPr="00954582" w:rsidRDefault="008F5EC2" w:rsidP="0060639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Ability to work independently with minimal supervision, take initiative, and also collaborate effectively as part of a multidisciplinary team.</w:t>
      </w:r>
    </w:p>
    <w:p w14:paraId="382998C2" w14:textId="041BD956" w:rsidR="008F5EC2" w:rsidRPr="00954582" w:rsidRDefault="008F5EC2" w:rsidP="0060639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Unquestionable discretion and the ability to handle confidential and sensitive information</w:t>
      </w:r>
      <w:r w:rsidR="00954582">
        <w:rPr>
          <w:sz w:val="20"/>
          <w:szCs w:val="20"/>
        </w:rPr>
        <w:t>.</w:t>
      </w:r>
    </w:p>
    <w:p w14:paraId="2ED6188E" w14:textId="78507470" w:rsidR="008F5EC2" w:rsidRPr="00954582" w:rsidRDefault="008F5EC2" w:rsidP="0060639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A strong interest in neurodegenerative diseases</w:t>
      </w:r>
      <w:r w:rsidR="00F575E0" w:rsidRPr="00954582">
        <w:rPr>
          <w:sz w:val="20"/>
          <w:szCs w:val="20"/>
        </w:rPr>
        <w:t>.</w:t>
      </w:r>
    </w:p>
    <w:p w14:paraId="5A49AD92" w14:textId="77777777" w:rsidR="0060639A" w:rsidRPr="008F5EC2" w:rsidRDefault="0060639A" w:rsidP="0060639A">
      <w:pPr>
        <w:spacing w:after="0" w:line="240" w:lineRule="auto"/>
        <w:ind w:left="720"/>
      </w:pPr>
    </w:p>
    <w:p w14:paraId="6678BD66" w14:textId="77777777" w:rsidR="008F5EC2" w:rsidRPr="008F5EC2" w:rsidRDefault="008F5EC2" w:rsidP="0060639A">
      <w:pPr>
        <w:spacing w:after="0" w:line="240" w:lineRule="auto"/>
      </w:pPr>
      <w:r w:rsidRPr="008F5EC2">
        <w:rPr>
          <w:b/>
          <w:bCs/>
        </w:rPr>
        <w:t>Preferred Qualifications:</w:t>
      </w:r>
    </w:p>
    <w:p w14:paraId="4106ECA3" w14:textId="0AC1A10A" w:rsidR="008F5EC2" w:rsidRPr="00954582" w:rsidRDefault="008F5EC2" w:rsidP="0060639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Experience supporting DD</w:t>
      </w:r>
      <w:r w:rsidR="0060639A" w:rsidRPr="00954582">
        <w:rPr>
          <w:sz w:val="20"/>
          <w:szCs w:val="20"/>
        </w:rPr>
        <w:t xml:space="preserve"> and PET</w:t>
      </w:r>
      <w:r w:rsidRPr="00954582">
        <w:rPr>
          <w:sz w:val="20"/>
          <w:szCs w:val="20"/>
        </w:rPr>
        <w:t xml:space="preserve"> pro</w:t>
      </w:r>
      <w:r w:rsidR="0060639A" w:rsidRPr="00954582">
        <w:rPr>
          <w:sz w:val="20"/>
          <w:szCs w:val="20"/>
        </w:rPr>
        <w:t>grams</w:t>
      </w:r>
      <w:r w:rsidRPr="00954582">
        <w:rPr>
          <w:sz w:val="20"/>
          <w:szCs w:val="20"/>
        </w:rPr>
        <w:t>.</w:t>
      </w:r>
    </w:p>
    <w:p w14:paraId="41B10959" w14:textId="531DDC11" w:rsidR="008F5EC2" w:rsidRPr="00954582" w:rsidRDefault="008F5EC2" w:rsidP="0060639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 xml:space="preserve">Direct experience with or exposure to business development, </w:t>
      </w:r>
      <w:r w:rsidR="0060639A" w:rsidRPr="00954582">
        <w:rPr>
          <w:sz w:val="20"/>
          <w:szCs w:val="20"/>
        </w:rPr>
        <w:t>research partnerships</w:t>
      </w:r>
      <w:r w:rsidRPr="00954582">
        <w:rPr>
          <w:sz w:val="20"/>
          <w:szCs w:val="20"/>
        </w:rPr>
        <w:t>, or technology transfer activities.</w:t>
      </w:r>
    </w:p>
    <w:p w14:paraId="3FC076E5" w14:textId="77777777" w:rsidR="008F5EC2" w:rsidRPr="00954582" w:rsidRDefault="008F5EC2" w:rsidP="0060639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Familiarity with basic contract terminology and review processes.</w:t>
      </w:r>
    </w:p>
    <w:p w14:paraId="559E07AE" w14:textId="3DEA898F" w:rsidR="008F5EC2" w:rsidRPr="00954582" w:rsidRDefault="008F5EC2" w:rsidP="0060639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 xml:space="preserve">Experience in a </w:t>
      </w:r>
      <w:r w:rsidR="0060639A" w:rsidRPr="00954582">
        <w:rPr>
          <w:sz w:val="20"/>
          <w:szCs w:val="20"/>
        </w:rPr>
        <w:t>dynamic biotech or start-up</w:t>
      </w:r>
      <w:r w:rsidRPr="00954582">
        <w:rPr>
          <w:sz w:val="20"/>
          <w:szCs w:val="20"/>
        </w:rPr>
        <w:t xml:space="preserve"> setting with a focus on medical </w:t>
      </w:r>
      <w:r w:rsidR="0060639A" w:rsidRPr="00954582">
        <w:rPr>
          <w:sz w:val="20"/>
          <w:szCs w:val="20"/>
        </w:rPr>
        <w:t xml:space="preserve">or life sciences </w:t>
      </w:r>
      <w:r w:rsidRPr="00954582">
        <w:rPr>
          <w:sz w:val="20"/>
          <w:szCs w:val="20"/>
        </w:rPr>
        <w:t>research.</w:t>
      </w:r>
    </w:p>
    <w:p w14:paraId="31717C5B" w14:textId="77777777" w:rsidR="0060639A" w:rsidRPr="008F5EC2" w:rsidRDefault="0060639A" w:rsidP="0060639A">
      <w:pPr>
        <w:spacing w:after="0" w:line="240" w:lineRule="auto"/>
        <w:ind w:left="720"/>
      </w:pPr>
    </w:p>
    <w:p w14:paraId="2A998BE8" w14:textId="77777777" w:rsidR="008F5EC2" w:rsidRPr="008F5EC2" w:rsidRDefault="008F5EC2" w:rsidP="0060639A">
      <w:pPr>
        <w:spacing w:after="0" w:line="240" w:lineRule="auto"/>
      </w:pPr>
      <w:r w:rsidRPr="008F5EC2">
        <w:rPr>
          <w:b/>
          <w:bCs/>
        </w:rPr>
        <w:t>Attributes:</w:t>
      </w:r>
    </w:p>
    <w:p w14:paraId="5F991A1F" w14:textId="77777777" w:rsidR="008F5EC2" w:rsidRPr="00954582" w:rsidRDefault="008F5EC2" w:rsidP="0060639A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Highly proactive, anticipating needs and taking initiative to address them.</w:t>
      </w:r>
    </w:p>
    <w:p w14:paraId="0F8C051C" w14:textId="77777777" w:rsidR="008F5EC2" w:rsidRPr="00954582" w:rsidRDefault="008F5EC2" w:rsidP="0060639A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Resourceful and adept at finding solutions to challenges.</w:t>
      </w:r>
    </w:p>
    <w:p w14:paraId="09ACC197" w14:textId="77777777" w:rsidR="008F5EC2" w:rsidRPr="00954582" w:rsidRDefault="008F5EC2" w:rsidP="0060639A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Highly adaptable and comfortable with a varied workload and shifting priorities.</w:t>
      </w:r>
    </w:p>
    <w:p w14:paraId="438B7D18" w14:textId="19A9B0C6" w:rsidR="008F5EC2" w:rsidRPr="00954582" w:rsidRDefault="008F5EC2" w:rsidP="0060639A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Possesses exceptional interpersonal skills and the ability to build rapport and interact professionally with a diverse range of internal staff, researchers, industry partners, and advis</w:t>
      </w:r>
      <w:r w:rsidR="00954582">
        <w:rPr>
          <w:sz w:val="20"/>
          <w:szCs w:val="20"/>
        </w:rPr>
        <w:t>o</w:t>
      </w:r>
      <w:r w:rsidRPr="00954582">
        <w:rPr>
          <w:sz w:val="20"/>
          <w:szCs w:val="20"/>
        </w:rPr>
        <w:t>rs.</w:t>
      </w:r>
    </w:p>
    <w:p w14:paraId="4AF5CB96" w14:textId="7C07EA19" w:rsidR="0060639A" w:rsidRDefault="008F5EC2" w:rsidP="0060639A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>Demonstrates a strong work ethic, a high level of personal responsibility, and a deep commitment to the nonprofit's mission</w:t>
      </w:r>
      <w:r w:rsidR="0060639A" w:rsidRPr="00954582">
        <w:rPr>
          <w:sz w:val="20"/>
          <w:szCs w:val="20"/>
        </w:rPr>
        <w:t>.</w:t>
      </w:r>
    </w:p>
    <w:p w14:paraId="6B9743F6" w14:textId="77777777" w:rsidR="00954582" w:rsidRDefault="00954582" w:rsidP="00954582">
      <w:pPr>
        <w:spacing w:after="0" w:line="240" w:lineRule="auto"/>
        <w:rPr>
          <w:sz w:val="20"/>
          <w:szCs w:val="20"/>
        </w:rPr>
      </w:pPr>
    </w:p>
    <w:p w14:paraId="2C6F1016" w14:textId="77777777" w:rsidR="00954582" w:rsidRPr="008F5EC2" w:rsidRDefault="00954582" w:rsidP="00954582">
      <w:pPr>
        <w:spacing w:line="240" w:lineRule="auto"/>
      </w:pPr>
      <w:r w:rsidRPr="008F5EC2">
        <w:rPr>
          <w:b/>
          <w:bCs/>
        </w:rPr>
        <w:t>About Us:</w:t>
      </w:r>
    </w:p>
    <w:p w14:paraId="4CA0633F" w14:textId="400C4ED7" w:rsidR="00C951DD" w:rsidRPr="00C951DD" w:rsidRDefault="00954582" w:rsidP="00954582">
      <w:pPr>
        <w:spacing w:line="240" w:lineRule="auto"/>
        <w:rPr>
          <w:sz w:val="20"/>
          <w:szCs w:val="20"/>
        </w:rPr>
      </w:pPr>
      <w:r w:rsidRPr="00954582">
        <w:rPr>
          <w:sz w:val="20"/>
          <w:szCs w:val="20"/>
        </w:rPr>
        <w:t xml:space="preserve">The </w:t>
      </w:r>
      <w:hyperlink r:id="rId5" w:history="1">
        <w:r w:rsidRPr="00954582">
          <w:rPr>
            <w:rStyle w:val="Hyperlink"/>
            <w:sz w:val="20"/>
            <w:szCs w:val="20"/>
          </w:rPr>
          <w:t>Rainwater Charitable Foundation (RCF)</w:t>
        </w:r>
      </w:hyperlink>
      <w:r w:rsidRPr="00954582">
        <w:rPr>
          <w:sz w:val="20"/>
          <w:szCs w:val="20"/>
        </w:rPr>
        <w:t xml:space="preserve"> was created in the early 1990s by renowned private equity investor and philanthropist Richard E. Rainwater. When Richard was diagnosed with a rare neurodegenerative disease and primary tauopathy called Progressive Supranuclear Palsy (PSP), the RCF expanded its mission to accelerate the development of new diagnostics and treatments for tau-related neurodegenerative disorders. The RCF Medical Research Team support this focus by managing the </w:t>
      </w:r>
      <w:hyperlink r:id="rId6" w:tgtFrame="_blank" w:history="1">
        <w:r w:rsidRPr="00954582">
          <w:rPr>
            <w:rStyle w:val="Hyperlink"/>
            <w:sz w:val="20"/>
            <w:szCs w:val="20"/>
          </w:rPr>
          <w:t>Tau Consortium</w:t>
        </w:r>
      </w:hyperlink>
      <w:r w:rsidRPr="00954582">
        <w:rPr>
          <w:sz w:val="20"/>
          <w:szCs w:val="20"/>
        </w:rPr>
        <w:t>, the </w:t>
      </w:r>
      <w:hyperlink r:id="rId7" w:tgtFrame="_blank" w:history="1">
        <w:r w:rsidRPr="00954582">
          <w:rPr>
            <w:rStyle w:val="Hyperlink"/>
            <w:sz w:val="20"/>
            <w:szCs w:val="20"/>
          </w:rPr>
          <w:t>Rainwater Prize Program</w:t>
        </w:r>
      </w:hyperlink>
      <w:r w:rsidRPr="00954582">
        <w:rPr>
          <w:sz w:val="20"/>
          <w:szCs w:val="20"/>
        </w:rPr>
        <w:t> and the </w:t>
      </w:r>
      <w:hyperlink r:id="rId8" w:tgtFrame="_blank" w:history="1">
        <w:r w:rsidRPr="00954582">
          <w:rPr>
            <w:rStyle w:val="Hyperlink"/>
            <w:sz w:val="20"/>
            <w:szCs w:val="20"/>
          </w:rPr>
          <w:t>Tauopathy Challenge Workshop</w:t>
        </w:r>
      </w:hyperlink>
      <w:r w:rsidRPr="00954582">
        <w:rPr>
          <w:sz w:val="20"/>
          <w:szCs w:val="20"/>
        </w:rPr>
        <w:t xml:space="preserve">. With over $140 million invested in medical research to date, the RCF has helped to advance eight treatments into human trials. Currently the RCF supports a range of programs, including a focus on family economic security, medical research, and other initiatives that drive positive change. </w:t>
      </w:r>
    </w:p>
    <w:sectPr w:rsidR="00C951DD" w:rsidRPr="00C95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D4523"/>
    <w:multiLevelType w:val="multilevel"/>
    <w:tmpl w:val="2A2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01999"/>
    <w:multiLevelType w:val="multilevel"/>
    <w:tmpl w:val="6D4E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14849"/>
    <w:multiLevelType w:val="multilevel"/>
    <w:tmpl w:val="C6D8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9198B"/>
    <w:multiLevelType w:val="multilevel"/>
    <w:tmpl w:val="499C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09809">
    <w:abstractNumId w:val="2"/>
  </w:num>
  <w:num w:numId="2" w16cid:durableId="927159542">
    <w:abstractNumId w:val="1"/>
  </w:num>
  <w:num w:numId="3" w16cid:durableId="1344019059">
    <w:abstractNumId w:val="0"/>
  </w:num>
  <w:num w:numId="4" w16cid:durableId="321324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C2"/>
    <w:rsid w:val="004F6296"/>
    <w:rsid w:val="0060639A"/>
    <w:rsid w:val="006440D1"/>
    <w:rsid w:val="00670485"/>
    <w:rsid w:val="008F5EC2"/>
    <w:rsid w:val="00954582"/>
    <w:rsid w:val="00AD60A2"/>
    <w:rsid w:val="00BC4D82"/>
    <w:rsid w:val="00C43C74"/>
    <w:rsid w:val="00C951DD"/>
    <w:rsid w:val="00E96CEF"/>
    <w:rsid w:val="00F5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00F2"/>
  <w15:chartTrackingRefBased/>
  <w15:docId w15:val="{5F2EFFA5-94E9-4E1F-AB95-DA01375B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E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5E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212.net/c/link/?t=0&amp;l=en&amp;o=4355503-1&amp;h=3218989698&amp;u=https%3A%2F%2Frainwatercharitablefoundation.org%2Fmedical-research-program%2Fadditional-research-programs%2Fworkshop%2F&amp;a=Tauopathy+Challenge+Worksh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212.net/c/link/?t=0&amp;l=en&amp;o=4355503-1&amp;h=1462924874&amp;u=https%3A%2F%2Frainwatercharitablefoundation.org%2Fmedical-research-program%2Fthe-rainwater-prize%2F&amp;a=Rainwater+Prize+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212.net/c/link/?t=0&amp;l=en&amp;o=4355503-1&amp;h=2410578403&amp;u=https%3A%2F%2Frainwatercharitablefoundation.org%2Fmedical-research-program%2Fthe-tau-consortium%2F&amp;a=Tau+Consortium" TargetMode="External"/><Relationship Id="rId5" Type="http://schemas.openxmlformats.org/officeDocument/2006/relationships/hyperlink" Target="https://rainwatercharitablefoundation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Harris</dc:creator>
  <cp:keywords/>
  <dc:description/>
  <cp:lastModifiedBy>Elizabeth Lentz</cp:lastModifiedBy>
  <cp:revision>2</cp:revision>
  <dcterms:created xsi:type="dcterms:W3CDTF">2025-06-26T18:42:00Z</dcterms:created>
  <dcterms:modified xsi:type="dcterms:W3CDTF">2025-06-26T18:42:00Z</dcterms:modified>
</cp:coreProperties>
</file>